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F8E50" w14:textId="38B8BD02" w:rsidR="007D03F4" w:rsidRPr="003639B5" w:rsidRDefault="007D03F4" w:rsidP="00E92B82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 w:rsidR="002012D4"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 w:rsidR="002012D4">
        <w:rPr>
          <w:b/>
          <w:bCs/>
          <w:noProof/>
          <w:sz w:val="24"/>
          <w:szCs w:val="24"/>
        </w:rPr>
        <w:t>4</w:t>
      </w:r>
      <w:r>
        <w:tab/>
      </w:r>
      <w:r w:rsidR="00881346" w:rsidRPr="00881346">
        <w:rPr>
          <w:rFonts w:cs="Arial"/>
          <w:b/>
          <w:bCs/>
          <w:noProof/>
          <w:sz w:val="28"/>
          <w:szCs w:val="28"/>
        </w:rPr>
        <w:t>R</w:t>
      </w:r>
      <w:r w:rsidR="002A6B28">
        <w:rPr>
          <w:rFonts w:cs="Arial"/>
          <w:b/>
          <w:bCs/>
          <w:noProof/>
          <w:sz w:val="28"/>
          <w:szCs w:val="28"/>
        </w:rPr>
        <w:t>3</w:t>
      </w:r>
      <w:r w:rsidR="00881346" w:rsidRPr="00881346">
        <w:rPr>
          <w:rFonts w:cs="Arial"/>
          <w:b/>
          <w:bCs/>
          <w:noProof/>
          <w:sz w:val="28"/>
          <w:szCs w:val="28"/>
        </w:rPr>
        <w:t>-2</w:t>
      </w:r>
      <w:r w:rsidR="004462E3" w:rsidRPr="004462E3">
        <w:rPr>
          <w:rFonts w:cs="Arial"/>
          <w:b/>
          <w:bCs/>
          <w:noProof/>
          <w:sz w:val="28"/>
          <w:szCs w:val="28"/>
        </w:rPr>
        <w:t>43559</w:t>
      </w:r>
    </w:p>
    <w:p w14:paraId="61035C91" w14:textId="5202CAAE" w:rsidR="007D03F4" w:rsidRDefault="002012D4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Fukuoka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Japan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May</w:t>
      </w:r>
      <w:r w:rsidR="004E2DCC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20</w:t>
      </w:r>
      <w:r w:rsidR="004E2DCC">
        <w:rPr>
          <w:rFonts w:ascii="Arial" w:hAnsi="Arial"/>
          <w:b/>
          <w:bCs/>
          <w:noProof/>
          <w:sz w:val="24"/>
          <w:szCs w:val="24"/>
        </w:rPr>
        <w:t>-</w:t>
      </w:r>
      <w:r>
        <w:rPr>
          <w:rFonts w:ascii="Arial" w:hAnsi="Arial"/>
          <w:b/>
          <w:bCs/>
          <w:noProof/>
          <w:sz w:val="24"/>
          <w:szCs w:val="24"/>
        </w:rPr>
        <w:t>24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>, 202</w:t>
      </w:r>
      <w:r w:rsidR="00E51325">
        <w:rPr>
          <w:rFonts w:ascii="Arial" w:hAnsi="Arial"/>
          <w:b/>
          <w:bCs/>
          <w:noProof/>
          <w:sz w:val="24"/>
          <w:szCs w:val="24"/>
        </w:rPr>
        <w:t>4</w:t>
      </w:r>
      <w:r w:rsidR="001B46BC">
        <w:rPr>
          <w:bCs/>
          <w:szCs w:val="24"/>
        </w:rPr>
        <w:tab/>
      </w:r>
    </w:p>
    <w:p w14:paraId="0AF20BC2" w14:textId="0729F1BA" w:rsidR="002E203A" w:rsidRPr="009C0B5A" w:rsidRDefault="002E203A" w:rsidP="00A57392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041E2158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E92B82">
        <w:rPr>
          <w:rFonts w:ascii="Arial" w:hAnsi="Arial" w:cs="Arial"/>
          <w:sz w:val="24"/>
          <w:lang w:val="en-US"/>
        </w:rPr>
        <w:t>1</w:t>
      </w:r>
      <w:r w:rsidR="00050D8F">
        <w:rPr>
          <w:rFonts w:ascii="Arial" w:hAnsi="Arial" w:cs="Arial"/>
          <w:sz w:val="24"/>
          <w:lang w:val="en-US"/>
        </w:rPr>
        <w:t>1</w:t>
      </w:r>
      <w:r w:rsidR="00E92B82">
        <w:rPr>
          <w:rFonts w:ascii="Arial" w:hAnsi="Arial" w:cs="Arial"/>
          <w:sz w:val="24"/>
          <w:lang w:val="en-US"/>
        </w:rPr>
        <w:t>.</w:t>
      </w:r>
      <w:r w:rsidR="00437586">
        <w:rPr>
          <w:rFonts w:ascii="Arial" w:hAnsi="Arial" w:cs="Arial"/>
          <w:sz w:val="24"/>
          <w:lang w:val="en-US"/>
        </w:rPr>
        <w:t>3</w:t>
      </w:r>
    </w:p>
    <w:p w14:paraId="4AA03D6B" w14:textId="10FF9334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420D4901" w:rsidR="00317899" w:rsidRPr="003639B5" w:rsidRDefault="00317899" w:rsidP="00E92B82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050D8F" w:rsidRPr="00050D8F">
        <w:rPr>
          <w:rFonts w:ascii="Arial" w:hAnsi="Arial" w:cs="Arial"/>
          <w:sz w:val="24"/>
          <w:lang w:val="en-US"/>
        </w:rPr>
        <w:t xml:space="preserve">Discussion on </w:t>
      </w:r>
      <w:r w:rsidR="00520556">
        <w:rPr>
          <w:rFonts w:ascii="Arial" w:hAnsi="Arial" w:cs="Arial"/>
          <w:sz w:val="24"/>
          <w:lang w:val="en-US"/>
        </w:rPr>
        <w:t>AI/ML enabled CCO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77777777" w:rsidR="003A1C6C" w:rsidRPr="008E45D6" w:rsidRDefault="003A1C6C" w:rsidP="003A1C6C">
      <w:pPr>
        <w:pStyle w:val="Heading1"/>
        <w:spacing w:line="276" w:lineRule="auto"/>
        <w:ind w:left="450"/>
      </w:pPr>
      <w:r>
        <w:t>Background</w:t>
      </w:r>
    </w:p>
    <w:p w14:paraId="06E4C4BA" w14:textId="6EE14C38" w:rsidR="00CC65A8" w:rsidRDefault="00F7718F" w:rsidP="00A57392">
      <w:pPr>
        <w:spacing w:line="276" w:lineRule="auto"/>
      </w:pPr>
      <w:r>
        <w:t xml:space="preserve">In RAN3#123-bis meeting, </w:t>
      </w:r>
      <w:r w:rsidR="00A83F38">
        <w:t xml:space="preserve">AI/ML based CCO was quite controversial. For CCO issue prediction there is a common understanding that it can be predicted in the </w:t>
      </w:r>
      <w:proofErr w:type="spellStart"/>
      <w:r w:rsidR="00A83F38">
        <w:t>gNB</w:t>
      </w:r>
      <w:proofErr w:type="spellEnd"/>
      <w:r w:rsidR="00A83F38">
        <w:t xml:space="preserve">-CU. For CCO Configuration prediction, there is a conflict if the configuration can be predicted via AI/ML or can it be done via legacy means.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14A76" w14:paraId="3AA8A2B5" w14:textId="77777777" w:rsidTr="00014A76">
        <w:tc>
          <w:tcPr>
            <w:tcW w:w="9350" w:type="dxa"/>
          </w:tcPr>
          <w:p w14:paraId="22AA8079" w14:textId="75E4746A" w:rsidR="00CC65A8" w:rsidRDefault="00CC65A8" w:rsidP="00CC65A8">
            <w:pPr>
              <w:spacing w:after="120"/>
              <w:ind w:right="-96"/>
              <w:jc w:val="both"/>
              <w:rPr>
                <w:b/>
                <w:bCs/>
                <w:u w:val="single"/>
              </w:rPr>
            </w:pPr>
            <w:r w:rsidRPr="0021227E">
              <w:rPr>
                <w:b/>
                <w:bCs/>
                <w:u w:val="single"/>
              </w:rPr>
              <w:t>R</w:t>
            </w:r>
            <w:r w:rsidR="009A44F7">
              <w:rPr>
                <w:b/>
                <w:bCs/>
                <w:u w:val="single"/>
              </w:rPr>
              <w:t>AN3#123-bis</w:t>
            </w:r>
          </w:p>
          <w:p w14:paraId="0E39E489" w14:textId="77777777" w:rsidR="009A44F7" w:rsidRPr="0021227E" w:rsidRDefault="009A44F7" w:rsidP="00CC65A8">
            <w:pPr>
              <w:spacing w:after="120"/>
              <w:ind w:right="-96"/>
              <w:jc w:val="both"/>
              <w:rPr>
                <w:b/>
                <w:bCs/>
                <w:u w:val="single"/>
              </w:rPr>
            </w:pPr>
          </w:p>
          <w:p w14:paraId="4CF07BB1" w14:textId="77777777" w:rsidR="00520556" w:rsidRPr="003D3304" w:rsidRDefault="00520556" w:rsidP="00520556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AI/ML based CCO, </w:t>
            </w:r>
          </w:p>
          <w:p w14:paraId="40C6095F" w14:textId="77777777" w:rsidR="00520556" w:rsidRPr="003D3304" w:rsidRDefault="00520556" w:rsidP="00520556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-</w:t>
            </w: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ab/>
              <w:t xml:space="preserve">AI/ML Model Training may </w:t>
            </w:r>
            <w:proofErr w:type="gram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be located in</w:t>
            </w:r>
            <w:proofErr w:type="gramEnd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the OAM and AI/ML Model Inference may be located in the NG-RAN node (</w:t>
            </w:r>
            <w:proofErr w:type="spell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-CU).</w:t>
            </w:r>
          </w:p>
          <w:p w14:paraId="086253B6" w14:textId="77777777" w:rsidR="00520556" w:rsidRPr="003D3304" w:rsidRDefault="00520556" w:rsidP="00520556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-</w:t>
            </w: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ab/>
              <w:t>AI/ML Model Training and AI/ML Model Inference may be both located in the NG-RAN node (</w:t>
            </w:r>
            <w:proofErr w:type="spell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-CU).</w:t>
            </w:r>
          </w:p>
          <w:p w14:paraId="3F322A8F" w14:textId="77777777" w:rsidR="00520556" w:rsidRPr="003D3304" w:rsidRDefault="00520556" w:rsidP="00520556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u w:val="single"/>
              </w:rPr>
            </w:pP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u w:val="single"/>
              </w:rPr>
              <w:t>Solution for non-split architecture</w:t>
            </w: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u w:val="single"/>
              </w:rPr>
              <w:t>:</w:t>
            </w:r>
          </w:p>
          <w:p w14:paraId="029787B2" w14:textId="77777777" w:rsidR="00520556" w:rsidRPr="003D3304" w:rsidRDefault="00520556" w:rsidP="00520556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Step 0: </w:t>
            </w:r>
            <w:proofErr w:type="spell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predicts the CCO issue.</w:t>
            </w:r>
          </w:p>
          <w:p w14:paraId="0A3D5FAE" w14:textId="77777777" w:rsidR="00520556" w:rsidRPr="003D3304" w:rsidRDefault="00520556" w:rsidP="00520556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Step 1: </w:t>
            </w:r>
            <w:proofErr w:type="spell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generates the future coverage status based on the predicted CCO issue and other information.</w:t>
            </w:r>
          </w:p>
          <w:p w14:paraId="6F8C4989" w14:textId="77777777" w:rsidR="00520556" w:rsidRDefault="00520556" w:rsidP="00520556">
            <w:pPr>
              <w:rPr>
                <w:rFonts w:ascii="Calibri" w:hAnsi="Calibri" w:cs="Calibri"/>
              </w:rPr>
            </w:pP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Step 2: </w:t>
            </w:r>
            <w:proofErr w:type="spell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sends the future coverage status to neighbour </w:t>
            </w:r>
            <w:proofErr w:type="spell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gNBs</w:t>
            </w:r>
            <w:proofErr w:type="spellEnd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  <w:r>
              <w:rPr>
                <w:rFonts w:ascii="Calibri" w:hAnsi="Calibri" w:cs="Calibri"/>
              </w:rPr>
              <w:t xml:space="preserve"> </w:t>
            </w:r>
          </w:p>
          <w:p w14:paraId="73EE0DDC" w14:textId="77777777" w:rsidR="00520556" w:rsidRPr="003D3304" w:rsidRDefault="00520556" w:rsidP="00520556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u w:val="single"/>
              </w:rPr>
            </w:pP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u w:val="single"/>
              </w:rPr>
              <w:t>Solution for split-architecture</w:t>
            </w: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u w:val="single"/>
              </w:rPr>
              <w:t>:</w:t>
            </w:r>
          </w:p>
          <w:p w14:paraId="0E96A0A5" w14:textId="77777777" w:rsidR="00520556" w:rsidRPr="003D3304" w:rsidRDefault="00520556" w:rsidP="00520556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Step 0: </w:t>
            </w:r>
            <w:proofErr w:type="spell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 predicts </w:t>
            </w:r>
            <w:r w:rsidRPr="003D3304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the </w:t>
            </w: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CCO </w:t>
            </w:r>
            <w:proofErr w:type="gram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issue</w:t>
            </w:r>
            <w:proofErr w:type="gramEnd"/>
          </w:p>
          <w:p w14:paraId="439D86D3" w14:textId="77777777" w:rsidR="00520556" w:rsidRPr="003D3304" w:rsidRDefault="00520556" w:rsidP="00520556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Step 1: </w:t>
            </w:r>
            <w:proofErr w:type="spell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 sends the predicted CCO issue to </w:t>
            </w:r>
            <w:proofErr w:type="spell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-DU.</w:t>
            </w:r>
          </w:p>
          <w:p w14:paraId="0D4A1EED" w14:textId="77777777" w:rsidR="00520556" w:rsidRPr="003D3304" w:rsidRDefault="00520556" w:rsidP="00520556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Step 2: </w:t>
            </w:r>
            <w:proofErr w:type="spell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-DU generates the future coverage status based on the predicted CCO issue and other local information, whether only local information is used can be further discussed.</w:t>
            </w:r>
          </w:p>
          <w:p w14:paraId="6F912E81" w14:textId="77777777" w:rsidR="00520556" w:rsidRPr="003D3304" w:rsidRDefault="00520556" w:rsidP="00520556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Step 3: </w:t>
            </w:r>
            <w:proofErr w:type="spell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-DU sends the future coverage status to </w:t>
            </w:r>
            <w:proofErr w:type="spell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-CU.</w:t>
            </w:r>
          </w:p>
          <w:p w14:paraId="2FB204D9" w14:textId="77777777" w:rsidR="00520556" w:rsidRPr="003D3304" w:rsidRDefault="00520556" w:rsidP="00520556">
            <w:pPr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Step 4: </w:t>
            </w:r>
            <w:proofErr w:type="spell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 sends the future coverage status to neighbour </w:t>
            </w:r>
            <w:proofErr w:type="spellStart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gNBs</w:t>
            </w:r>
            <w:proofErr w:type="spellEnd"/>
            <w:r w:rsidRPr="003D3304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4D7088B1" w14:textId="77777777" w:rsidR="00014A76" w:rsidRDefault="00520556" w:rsidP="00520556">
            <w:pPr>
              <w:overflowPunct/>
              <w:autoSpaceDE/>
              <w:autoSpaceDN/>
              <w:adjustRightInd/>
              <w:spacing w:after="120" w:line="257" w:lineRule="auto"/>
              <w:contextualSpacing/>
              <w:jc w:val="both"/>
              <w:textAlignment w:val="auto"/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</w:rPr>
            </w:pPr>
            <w:r w:rsidRPr="003D3304"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</w:rPr>
              <w:t>FFS on whether the predicted CCO issue and the future coverage status can be derived without AI/ML for both split-architecture and non-split architecture.</w:t>
            </w:r>
          </w:p>
          <w:p w14:paraId="06C47AD3" w14:textId="5B70C795" w:rsidR="00520556" w:rsidRPr="0021227E" w:rsidRDefault="00520556" w:rsidP="00520556">
            <w:pPr>
              <w:overflowPunct/>
              <w:autoSpaceDE/>
              <w:autoSpaceDN/>
              <w:adjustRightInd/>
              <w:spacing w:after="120" w:line="257" w:lineRule="auto"/>
              <w:contextualSpacing/>
              <w:jc w:val="both"/>
              <w:textAlignment w:val="auto"/>
              <w:rPr>
                <w:rFonts w:eastAsia="SimSun"/>
                <w:bCs/>
                <w:lang w:val="en-US" w:eastAsia="zh-CN"/>
              </w:rPr>
            </w:pPr>
          </w:p>
        </w:tc>
      </w:tr>
    </w:tbl>
    <w:p w14:paraId="34E705B2" w14:textId="05F5A866" w:rsidR="00DE6FFF" w:rsidRDefault="00DE6FFF" w:rsidP="00A57392">
      <w:pPr>
        <w:spacing w:line="276" w:lineRule="auto"/>
      </w:pPr>
    </w:p>
    <w:p w14:paraId="0647D8C1" w14:textId="2495C5BB" w:rsidR="00692DB3" w:rsidRDefault="00CC65A8" w:rsidP="00A57392">
      <w:pPr>
        <w:spacing w:line="276" w:lineRule="auto"/>
      </w:pPr>
      <w:r>
        <w:t>In this paper we discuss our view</w:t>
      </w:r>
      <w:r w:rsidR="00A7652D">
        <w:t>s</w:t>
      </w:r>
      <w:r>
        <w:t xml:space="preserve"> </w:t>
      </w:r>
      <w:r w:rsidR="00A7652D">
        <w:t xml:space="preserve">on the </w:t>
      </w:r>
      <w:r w:rsidR="00A83F38">
        <w:t>CCO configuration prediction and CCO configuration feedback.</w:t>
      </w:r>
    </w:p>
    <w:p w14:paraId="7B502DCF" w14:textId="3EAB77E5" w:rsidR="00DE6FFF" w:rsidRDefault="002727D6" w:rsidP="0026702A">
      <w:pPr>
        <w:pStyle w:val="Heading1"/>
        <w:spacing w:line="276" w:lineRule="auto"/>
        <w:ind w:left="450"/>
      </w:pPr>
      <w:r>
        <w:lastRenderedPageBreak/>
        <w:t>Discussion</w:t>
      </w:r>
    </w:p>
    <w:p w14:paraId="18BB23CF" w14:textId="1A54D9B2" w:rsidR="00A7652D" w:rsidRDefault="00A83F38" w:rsidP="006B274B">
      <w:pPr>
        <w:pStyle w:val="Heading2"/>
        <w:ind w:left="0" w:firstLine="0"/>
      </w:pPr>
      <w:r>
        <w:t>Predicted CCO Configuration</w:t>
      </w:r>
    </w:p>
    <w:p w14:paraId="527AC85D" w14:textId="71B0044A" w:rsidR="0006171A" w:rsidRDefault="0006171A" w:rsidP="00446474">
      <w:pPr>
        <w:widowControl w:val="0"/>
        <w:spacing w:before="100" w:beforeAutospacing="1"/>
        <w:rPr>
          <w:lang w:eastAsia="zh-CN"/>
        </w:rPr>
      </w:pPr>
      <w:r>
        <w:rPr>
          <w:lang w:eastAsia="zh-CN"/>
        </w:rPr>
        <w:t xml:space="preserve">In the legacy CCO procedure,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chooses the CCO configuration to mitigate the reported CCO issue.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proofErr w:type="spellStart"/>
      <w:r>
        <w:rPr>
          <w:lang w:eastAsia="zh-CN"/>
        </w:rPr>
        <w:t>infact</w:t>
      </w:r>
      <w:proofErr w:type="spellEnd"/>
      <w:r>
        <w:rPr>
          <w:lang w:eastAsia="zh-CN"/>
        </w:rPr>
        <w:t xml:space="preserve"> applies the chosen CCO configuration and informs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that CCO configuration is applied. Hence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has complete autonomy to choose a CCO configuration and apply it without any intervention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</w:p>
    <w:p w14:paraId="505CC9F6" w14:textId="219A2EAF" w:rsidR="009D3C78" w:rsidRDefault="009D3C78" w:rsidP="009D3C78">
      <w:pPr>
        <w:pStyle w:val="Observation"/>
      </w:pPr>
      <w:bookmarkStart w:id="1" w:name="_Toc166178409"/>
      <w:bookmarkStart w:id="2" w:name="_Toc166178476"/>
      <w:bookmarkStart w:id="3" w:name="_Toc166192086"/>
      <w:bookmarkStart w:id="4" w:name="_Toc166231365"/>
      <w:r>
        <w:t xml:space="preserve">Legacy procedure involves </w:t>
      </w:r>
      <w:proofErr w:type="spellStart"/>
      <w:r>
        <w:t>gNB</w:t>
      </w:r>
      <w:proofErr w:type="spellEnd"/>
      <w:r>
        <w:t xml:space="preserve">-DU applying a new CCO configuration for a CCO issue and informing the </w:t>
      </w:r>
      <w:proofErr w:type="spellStart"/>
      <w:r>
        <w:t>gNB</w:t>
      </w:r>
      <w:proofErr w:type="spellEnd"/>
      <w:r>
        <w:t xml:space="preserve">-CU that new CCO configuration is applied. The new CCO configuration is then exchanged with neighbours by the </w:t>
      </w:r>
      <w:proofErr w:type="spellStart"/>
      <w:r>
        <w:t>gNB</w:t>
      </w:r>
      <w:proofErr w:type="spellEnd"/>
      <w:r>
        <w:t>-CU.</w:t>
      </w:r>
      <w:bookmarkEnd w:id="1"/>
      <w:bookmarkEnd w:id="2"/>
      <w:bookmarkEnd w:id="3"/>
      <w:bookmarkEnd w:id="4"/>
    </w:p>
    <w:p w14:paraId="691D1536" w14:textId="37CBDE60" w:rsidR="0006171A" w:rsidRDefault="0006171A" w:rsidP="00446474">
      <w:pPr>
        <w:widowControl w:val="0"/>
        <w:spacing w:before="100" w:beforeAutospacing="1"/>
        <w:rPr>
          <w:lang w:eastAsia="zh-CN"/>
        </w:rPr>
      </w:pPr>
      <w:r>
        <w:rPr>
          <w:lang w:eastAsia="zh-CN"/>
        </w:rPr>
        <w:t xml:space="preserve">This implies that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has autonomy to choose the best possible CCO configuration to resolve a CCO issue.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can choose the best possible CCO configuration for a CCO issue based on legacy mechanisms or using A</w:t>
      </w:r>
      <w:r w:rsidR="007167BF">
        <w:rPr>
          <w:lang w:eastAsia="zh-CN"/>
        </w:rPr>
        <w:t xml:space="preserve">I/ML learning from the past data. </w:t>
      </w:r>
    </w:p>
    <w:p w14:paraId="660C0FFA" w14:textId="7508F967" w:rsidR="009D3C78" w:rsidRDefault="009D3C78" w:rsidP="009D3C78">
      <w:pPr>
        <w:pStyle w:val="Observation"/>
      </w:pPr>
      <w:bookmarkStart w:id="5" w:name="_Toc166165525"/>
      <w:bookmarkStart w:id="6" w:name="_Toc166178410"/>
      <w:bookmarkStart w:id="7" w:name="_Toc166178477"/>
      <w:bookmarkStart w:id="8" w:name="_Toc166192087"/>
      <w:bookmarkStart w:id="9" w:name="_Toc166231366"/>
      <w:r w:rsidRPr="00446474">
        <w:t xml:space="preserve">Based </w:t>
      </w:r>
      <w:r>
        <w:t xml:space="preserve">on the past learnings from different CCO issues and applied CCO configurations, </w:t>
      </w:r>
      <w:proofErr w:type="spellStart"/>
      <w:r>
        <w:t>gNB</w:t>
      </w:r>
      <w:proofErr w:type="spellEnd"/>
      <w:r>
        <w:t>-DU may derive a CCO configuration which could be best suited to solve the CCO issue. Hence deriving a CCO configuration could be based on machine learning techniques based on past data or via legacy mechanisms.</w:t>
      </w:r>
      <w:bookmarkEnd w:id="5"/>
      <w:bookmarkEnd w:id="6"/>
      <w:bookmarkEnd w:id="7"/>
      <w:bookmarkEnd w:id="8"/>
      <w:bookmarkEnd w:id="9"/>
    </w:p>
    <w:p w14:paraId="77CDE885" w14:textId="034DF2D4" w:rsidR="009D3C78" w:rsidRPr="00963FB5" w:rsidRDefault="00026C6A" w:rsidP="009D3C78">
      <w:pPr>
        <w:pStyle w:val="PropObs"/>
      </w:pPr>
      <w:bookmarkStart w:id="10" w:name="_Toc166178415"/>
      <w:bookmarkStart w:id="11" w:name="_Toc166178483"/>
      <w:bookmarkStart w:id="12" w:name="_Toc166192091"/>
      <w:bookmarkStart w:id="13" w:name="_Toc166231368"/>
      <w:r w:rsidRPr="00026C6A">
        <w:t xml:space="preserve">RAN3 to agree that AI/ML techniques </w:t>
      </w:r>
      <w:r w:rsidR="00B17BAE">
        <w:t>can</w:t>
      </w:r>
      <w:r w:rsidRPr="00026C6A">
        <w:t xml:space="preserve"> be used to derive CCO configuration in </w:t>
      </w:r>
      <w:proofErr w:type="spellStart"/>
      <w:r w:rsidRPr="00026C6A">
        <w:t>gNB</w:t>
      </w:r>
      <w:proofErr w:type="spellEnd"/>
      <w:r w:rsidRPr="00026C6A">
        <w:t>-DU for a predicted CCO issue whereas legacy mechanisms are not precluded</w:t>
      </w:r>
      <w:r w:rsidR="009D3C78">
        <w:t>.</w:t>
      </w:r>
      <w:bookmarkEnd w:id="10"/>
      <w:bookmarkEnd w:id="11"/>
      <w:bookmarkEnd w:id="12"/>
      <w:bookmarkEnd w:id="13"/>
    </w:p>
    <w:p w14:paraId="700AB699" w14:textId="77777777" w:rsidR="009D3C78" w:rsidRDefault="009D3C78" w:rsidP="007167BF"/>
    <w:p w14:paraId="7C3E29EF" w14:textId="5FDFF067" w:rsidR="007167BF" w:rsidRDefault="009D3C78" w:rsidP="007167BF">
      <w:r>
        <w:t xml:space="preserve">There could be different scenarios like energy savings, interference etc due to which the CCO configuration is changed. When the CCO configuration is changed in a particular </w:t>
      </w:r>
      <w:proofErr w:type="spellStart"/>
      <w:r>
        <w:t>gNB</w:t>
      </w:r>
      <w:proofErr w:type="spellEnd"/>
      <w:r>
        <w:t xml:space="preserve">, it impacts the other </w:t>
      </w:r>
      <w:proofErr w:type="spellStart"/>
      <w:r>
        <w:t>gNBs</w:t>
      </w:r>
      <w:proofErr w:type="spellEnd"/>
      <w:r>
        <w:t xml:space="preserve"> in the neighbourhood as well. For example, when one </w:t>
      </w:r>
      <w:proofErr w:type="spellStart"/>
      <w:r>
        <w:t>gNB</w:t>
      </w:r>
      <w:proofErr w:type="spellEnd"/>
      <w:r>
        <w:t xml:space="preserve"> shrinks its coverage due to NES, then the neighbouring </w:t>
      </w:r>
      <w:proofErr w:type="spellStart"/>
      <w:r>
        <w:t>gNB</w:t>
      </w:r>
      <w:proofErr w:type="spellEnd"/>
      <w:r>
        <w:t xml:space="preserve"> needs to expand its coverage to avoid a coverage gap. </w:t>
      </w:r>
    </w:p>
    <w:p w14:paraId="3326034A" w14:textId="77777777" w:rsidR="006C12D1" w:rsidRDefault="006C12D1" w:rsidP="006C12D1">
      <w:pPr>
        <w:rPr>
          <w:lang w:eastAsia="zh-CN"/>
        </w:rPr>
      </w:pPr>
      <w:r>
        <w:rPr>
          <w:lang w:eastAsia="zh-CN"/>
        </w:rPr>
        <w:t xml:space="preserve">Sample Call flow is shown below – </w:t>
      </w:r>
    </w:p>
    <w:p w14:paraId="5458F9EF" w14:textId="77777777" w:rsidR="006C12D1" w:rsidRDefault="006C12D1" w:rsidP="006C12D1">
      <w:pPr>
        <w:rPr>
          <w:lang w:eastAsia="zh-CN"/>
        </w:rPr>
      </w:pPr>
    </w:p>
    <w:p w14:paraId="74792DAC" w14:textId="54FB28AA" w:rsidR="006C12D1" w:rsidRDefault="006C12D1" w:rsidP="006C12D1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2D608EC9" wp14:editId="38D93C90">
            <wp:extent cx="4003431" cy="3507083"/>
            <wp:effectExtent l="0" t="0" r="0" b="0"/>
            <wp:docPr id="2201907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19072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679" cy="3514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A6E9B4" w14:textId="77777777" w:rsidR="006C12D1" w:rsidRDefault="006C12D1" w:rsidP="007167BF"/>
    <w:p w14:paraId="7A82E846" w14:textId="33D50E56" w:rsidR="006C12D1" w:rsidRDefault="006C12D1" w:rsidP="006C12D1">
      <w:pPr>
        <w:pStyle w:val="Observation"/>
      </w:pPr>
      <w:bookmarkStart w:id="14" w:name="_Toc166178411"/>
      <w:bookmarkStart w:id="15" w:name="_Toc166178478"/>
      <w:bookmarkStart w:id="16" w:name="_Toc166192088"/>
      <w:bookmarkStart w:id="17" w:name="_Toc166231367"/>
      <w:r>
        <w:t xml:space="preserve">There could be energy savings, interference or other scenarios due to which coverage is modified in a </w:t>
      </w:r>
      <w:proofErr w:type="spellStart"/>
      <w:r>
        <w:t>gNB</w:t>
      </w:r>
      <w:proofErr w:type="spellEnd"/>
      <w:r>
        <w:t xml:space="preserve"> and it impacts the coverage state of the neighbouring </w:t>
      </w:r>
      <w:proofErr w:type="spellStart"/>
      <w:r>
        <w:t>gNBs</w:t>
      </w:r>
      <w:proofErr w:type="spellEnd"/>
      <w:r>
        <w:t xml:space="preserve">, </w:t>
      </w:r>
      <w:proofErr w:type="gramStart"/>
      <w:r>
        <w:t>One</w:t>
      </w:r>
      <w:proofErr w:type="gramEnd"/>
      <w:r>
        <w:t xml:space="preserve"> example could be a </w:t>
      </w:r>
      <w:proofErr w:type="spellStart"/>
      <w:r>
        <w:t>gNB</w:t>
      </w:r>
      <w:proofErr w:type="spellEnd"/>
      <w:r>
        <w:t xml:space="preserve"> shrinks its coverage for NES and neighbouring </w:t>
      </w:r>
      <w:proofErr w:type="spellStart"/>
      <w:r>
        <w:t>gNB</w:t>
      </w:r>
      <w:proofErr w:type="spellEnd"/>
      <w:r>
        <w:t xml:space="preserve"> needs to expand its coverage to avoid coverage gap.</w:t>
      </w:r>
      <w:bookmarkEnd w:id="14"/>
      <w:bookmarkEnd w:id="15"/>
      <w:bookmarkEnd w:id="16"/>
      <w:bookmarkEnd w:id="17"/>
    </w:p>
    <w:p w14:paraId="3ECF11DC" w14:textId="2396CB0E" w:rsidR="00026C6A" w:rsidRDefault="00026C6A" w:rsidP="006C12D1">
      <w:pPr>
        <w:pStyle w:val="PropObs"/>
      </w:pPr>
      <w:bookmarkStart w:id="18" w:name="_Toc166192092"/>
      <w:bookmarkStart w:id="19" w:name="_Toc166178416"/>
      <w:bookmarkStart w:id="20" w:name="_Toc166178484"/>
      <w:bookmarkStart w:id="21" w:name="_Toc166231369"/>
      <w:r>
        <w:rPr>
          <w:rFonts w:ascii="Segoe UI" w:hAnsi="Segoe UI" w:cs="Segoe UI"/>
          <w:color w:val="333333"/>
          <w:sz w:val="18"/>
          <w:szCs w:val="18"/>
          <w:shd w:val="clear" w:color="auto" w:fill="FFFFFF"/>
        </w:rPr>
        <w:t xml:space="preserve">A </w:t>
      </w:r>
      <w:proofErr w:type="spellStart"/>
      <w:r>
        <w:rPr>
          <w:rFonts w:ascii="Segoe UI" w:hAnsi="Segoe UI" w:cs="Segoe UI"/>
          <w:color w:val="333333"/>
          <w:sz w:val="18"/>
          <w:szCs w:val="18"/>
          <w:shd w:val="clear" w:color="auto" w:fill="FFFFFF"/>
        </w:rPr>
        <w:t>gNB</w:t>
      </w:r>
      <w:proofErr w:type="spellEnd"/>
      <w:r>
        <w:rPr>
          <w:rFonts w:ascii="Segoe UI" w:hAnsi="Segoe UI" w:cs="Segoe UI"/>
          <w:color w:val="333333"/>
          <w:sz w:val="18"/>
          <w:szCs w:val="18"/>
          <w:shd w:val="clear" w:color="auto" w:fill="FFFFFF"/>
        </w:rPr>
        <w:t xml:space="preserve"> can propose a predicted coverage configuration for cells served by its neighboring </w:t>
      </w:r>
      <w:proofErr w:type="spellStart"/>
      <w:r>
        <w:rPr>
          <w:rFonts w:ascii="Segoe UI" w:hAnsi="Segoe UI" w:cs="Segoe UI"/>
          <w:color w:val="333333"/>
          <w:sz w:val="18"/>
          <w:szCs w:val="18"/>
          <w:shd w:val="clear" w:color="auto" w:fill="FFFFFF"/>
        </w:rPr>
        <w:t>gNBs</w:t>
      </w:r>
      <w:proofErr w:type="spellEnd"/>
      <w:r>
        <w:rPr>
          <w:rFonts w:ascii="Segoe UI" w:hAnsi="Segoe UI" w:cs="Segoe UI"/>
          <w:color w:val="333333"/>
          <w:sz w:val="18"/>
          <w:szCs w:val="18"/>
          <w:shd w:val="clear" w:color="auto" w:fill="FFFFFF"/>
        </w:rPr>
        <w:t xml:space="preserve">. The neighboring </w:t>
      </w:r>
      <w:proofErr w:type="spellStart"/>
      <w:r>
        <w:rPr>
          <w:rFonts w:ascii="Segoe UI" w:hAnsi="Segoe UI" w:cs="Segoe UI"/>
          <w:color w:val="333333"/>
          <w:sz w:val="18"/>
          <w:szCs w:val="18"/>
          <w:shd w:val="clear" w:color="auto" w:fill="FFFFFF"/>
        </w:rPr>
        <w:t>gNB</w:t>
      </w:r>
      <w:proofErr w:type="spellEnd"/>
      <w:r>
        <w:rPr>
          <w:rFonts w:ascii="Segoe UI" w:hAnsi="Segoe UI" w:cs="Segoe UI"/>
          <w:color w:val="333333"/>
          <w:sz w:val="18"/>
          <w:szCs w:val="18"/>
          <w:shd w:val="clear" w:color="auto" w:fill="FFFFFF"/>
        </w:rPr>
        <w:t xml:space="preserve"> can either accept/reject this proposal and provide its own predicted coverage configuration upon request.</w:t>
      </w:r>
      <w:bookmarkEnd w:id="18"/>
      <w:bookmarkEnd w:id="21"/>
    </w:p>
    <w:bookmarkEnd w:id="19"/>
    <w:bookmarkEnd w:id="20"/>
    <w:p w14:paraId="2559A104" w14:textId="77777777" w:rsidR="006C12D1" w:rsidRDefault="006C12D1" w:rsidP="009D3C78"/>
    <w:p w14:paraId="31A88637" w14:textId="14D70517" w:rsidR="00963FB5" w:rsidRDefault="00191002" w:rsidP="00963FB5">
      <w:pPr>
        <w:pStyle w:val="Heading2"/>
        <w:ind w:left="0" w:firstLine="0"/>
      </w:pPr>
      <w:r>
        <w:t xml:space="preserve">Predicted </w:t>
      </w:r>
      <w:r w:rsidR="006C12D1">
        <w:t>CCO Configuration Feedback</w:t>
      </w:r>
    </w:p>
    <w:p w14:paraId="5DD0ECA0" w14:textId="77777777" w:rsidR="00963FB5" w:rsidRDefault="00963FB5" w:rsidP="00963FB5"/>
    <w:p w14:paraId="3D9C9C4B" w14:textId="0F4A0879" w:rsidR="000431DC" w:rsidRDefault="000431DC" w:rsidP="00963FB5">
      <w:r>
        <w:rPr>
          <w:lang w:eastAsia="zh-CN"/>
        </w:rPr>
        <w:t xml:space="preserve">Once the predicted coverage pattern is applied, the </w:t>
      </w:r>
      <w:proofErr w:type="spellStart"/>
      <w:r>
        <w:rPr>
          <w:lang w:eastAsia="zh-CN"/>
        </w:rPr>
        <w:t>neighboring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can send feedback on Cell performance like throughput, packet loss, packet delay, RLF reports etc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inform the effects of applying predicted coverage pattern. The Feedback can be transferred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correct the CCO configuration.</w:t>
      </w:r>
    </w:p>
    <w:p w14:paraId="0C54F164" w14:textId="54A30733" w:rsidR="000431DC" w:rsidRDefault="000431DC" w:rsidP="000431DC">
      <w:pPr>
        <w:pStyle w:val="PropObs"/>
      </w:pPr>
      <w:bookmarkStart w:id="22" w:name="_Toc166178417"/>
      <w:bookmarkStart w:id="23" w:name="_Toc166178485"/>
      <w:bookmarkStart w:id="24" w:name="_Toc166192093"/>
      <w:bookmarkStart w:id="25" w:name="_Toc166231370"/>
      <w:r>
        <w:t xml:space="preserve">The following parameters can be considered for feedback for the predicted CCO configuration and can be exchanged between </w:t>
      </w:r>
      <w:proofErr w:type="spellStart"/>
      <w:r>
        <w:t>neighbours</w:t>
      </w:r>
      <w:proofErr w:type="spellEnd"/>
      <w:r>
        <w:t xml:space="preserve"> over </w:t>
      </w:r>
      <w:proofErr w:type="spellStart"/>
      <w:r>
        <w:t>Xn</w:t>
      </w:r>
      <w:proofErr w:type="spellEnd"/>
      <w:r>
        <w:t xml:space="preserve"> and from </w:t>
      </w:r>
      <w:proofErr w:type="spellStart"/>
      <w:r>
        <w:t>gNB</w:t>
      </w:r>
      <w:proofErr w:type="spellEnd"/>
      <w:r>
        <w:t xml:space="preserve">-CU to </w:t>
      </w:r>
      <w:proofErr w:type="spellStart"/>
      <w:r>
        <w:t>gNB</w:t>
      </w:r>
      <w:proofErr w:type="spellEnd"/>
      <w:r>
        <w:t>-DU over F1.</w:t>
      </w:r>
      <w:bookmarkEnd w:id="22"/>
      <w:bookmarkEnd w:id="23"/>
      <w:bookmarkEnd w:id="24"/>
      <w:bookmarkEnd w:id="25"/>
    </w:p>
    <w:p w14:paraId="2A78214B" w14:textId="77777777" w:rsidR="000431DC" w:rsidRDefault="000431DC" w:rsidP="000431DC">
      <w:pPr>
        <w:pStyle w:val="PropObs"/>
        <w:numPr>
          <w:ilvl w:val="0"/>
          <w:numId w:val="38"/>
        </w:numPr>
        <w:spacing w:after="160" w:line="259" w:lineRule="auto"/>
      </w:pPr>
      <w:bookmarkStart w:id="26" w:name="_Toc166178418"/>
      <w:bookmarkStart w:id="27" w:name="_Toc166178486"/>
      <w:bookmarkStart w:id="28" w:name="_Toc166192094"/>
      <w:bookmarkStart w:id="29" w:name="_Hlk166178326"/>
      <w:bookmarkStart w:id="30" w:name="_Toc166231371"/>
      <w:r>
        <w:t>Cell throughput (DL/UL)</w:t>
      </w:r>
      <w:bookmarkEnd w:id="26"/>
      <w:bookmarkEnd w:id="27"/>
      <w:bookmarkEnd w:id="28"/>
      <w:bookmarkEnd w:id="30"/>
    </w:p>
    <w:p w14:paraId="5DA1FCDB" w14:textId="77777777" w:rsidR="000431DC" w:rsidRDefault="000431DC" w:rsidP="000431DC">
      <w:pPr>
        <w:pStyle w:val="PropObs"/>
        <w:numPr>
          <w:ilvl w:val="0"/>
          <w:numId w:val="38"/>
        </w:numPr>
        <w:spacing w:after="160" w:line="259" w:lineRule="auto"/>
      </w:pPr>
      <w:bookmarkStart w:id="31" w:name="_Toc166178419"/>
      <w:bookmarkStart w:id="32" w:name="_Toc166178487"/>
      <w:bookmarkStart w:id="33" w:name="_Toc166192095"/>
      <w:bookmarkStart w:id="34" w:name="_Toc166231372"/>
      <w:r>
        <w:t>Cell level Packet loss</w:t>
      </w:r>
      <w:bookmarkEnd w:id="31"/>
      <w:bookmarkEnd w:id="32"/>
      <w:bookmarkEnd w:id="33"/>
      <w:bookmarkEnd w:id="34"/>
    </w:p>
    <w:p w14:paraId="2A6E49C2" w14:textId="77777777" w:rsidR="000431DC" w:rsidRDefault="000431DC" w:rsidP="000431DC">
      <w:pPr>
        <w:pStyle w:val="PropObs"/>
        <w:numPr>
          <w:ilvl w:val="0"/>
          <w:numId w:val="38"/>
        </w:numPr>
        <w:spacing w:after="160" w:line="259" w:lineRule="auto"/>
      </w:pPr>
      <w:bookmarkStart w:id="35" w:name="_Toc166178420"/>
      <w:bookmarkStart w:id="36" w:name="_Toc166178488"/>
      <w:bookmarkStart w:id="37" w:name="_Toc166192096"/>
      <w:bookmarkStart w:id="38" w:name="_Toc166231373"/>
      <w:r>
        <w:t>Cell level Packet delay</w:t>
      </w:r>
      <w:bookmarkEnd w:id="35"/>
      <w:bookmarkEnd w:id="36"/>
      <w:bookmarkEnd w:id="37"/>
      <w:bookmarkEnd w:id="38"/>
    </w:p>
    <w:p w14:paraId="6410560A" w14:textId="77777777" w:rsidR="000431DC" w:rsidRDefault="000431DC" w:rsidP="000431DC">
      <w:pPr>
        <w:pStyle w:val="PropObs"/>
        <w:numPr>
          <w:ilvl w:val="0"/>
          <w:numId w:val="38"/>
        </w:numPr>
        <w:spacing w:after="160" w:line="259" w:lineRule="auto"/>
      </w:pPr>
      <w:bookmarkStart w:id="39" w:name="_Toc166178421"/>
      <w:bookmarkStart w:id="40" w:name="_Toc166178489"/>
      <w:bookmarkStart w:id="41" w:name="_Toc166192097"/>
      <w:bookmarkStart w:id="42" w:name="_Toc166231374"/>
      <w:r>
        <w:t>SON reports (RLF, CEF)</w:t>
      </w:r>
      <w:bookmarkEnd w:id="39"/>
      <w:bookmarkEnd w:id="40"/>
      <w:bookmarkEnd w:id="41"/>
      <w:bookmarkEnd w:id="42"/>
    </w:p>
    <w:bookmarkEnd w:id="29"/>
    <w:p w14:paraId="7A8A67DA" w14:textId="77777777" w:rsidR="000431DC" w:rsidRPr="00963FB5" w:rsidRDefault="000431DC" w:rsidP="000431DC">
      <w:pPr>
        <w:pStyle w:val="PropObs"/>
        <w:numPr>
          <w:ilvl w:val="0"/>
          <w:numId w:val="0"/>
        </w:numPr>
        <w:ind w:left="720"/>
      </w:pPr>
    </w:p>
    <w:p w14:paraId="6F822EBC" w14:textId="77777777" w:rsidR="00CC0BCF" w:rsidRDefault="00CC0BCF" w:rsidP="00CC0BCF"/>
    <w:p w14:paraId="63218C90" w14:textId="748803F3" w:rsidR="003623CE" w:rsidRDefault="003623CE" w:rsidP="00A57392">
      <w:pPr>
        <w:pStyle w:val="Heading1"/>
        <w:spacing w:line="276" w:lineRule="auto"/>
        <w:ind w:left="450"/>
      </w:pPr>
      <w:r w:rsidRPr="0024696D">
        <w:lastRenderedPageBreak/>
        <w:t xml:space="preserve">Summary </w:t>
      </w:r>
    </w:p>
    <w:p w14:paraId="26462B3D" w14:textId="77777777" w:rsidR="005E04D4" w:rsidRPr="005E04D4" w:rsidRDefault="005E04D4" w:rsidP="005E04D4"/>
    <w:p w14:paraId="143CA503" w14:textId="77777777" w:rsidR="00E15BED" w:rsidRDefault="00E15BED" w:rsidP="00E15BED">
      <w:pPr>
        <w:spacing w:line="276" w:lineRule="auto"/>
        <w:jc w:val="both"/>
      </w:pPr>
      <w:r>
        <w:t xml:space="preserve">Based on the discussion above, we have following observations: </w:t>
      </w:r>
    </w:p>
    <w:p w14:paraId="5B8222C5" w14:textId="77777777" w:rsidR="00B17BAE" w:rsidRDefault="00E15BED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"Observation" \z \n \* MERGEFORMAT </w:instrText>
      </w:r>
      <w:r w:rsidRPr="00113C98">
        <w:rPr>
          <w:b/>
        </w:rPr>
        <w:fldChar w:fldCharType="separate"/>
      </w:r>
      <w:r w:rsidR="00B17BAE">
        <w:rPr>
          <w:noProof/>
        </w:rPr>
        <w:t>Observation 1.</w:t>
      </w:r>
      <w:r w:rsidR="00B17BAE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 w:rsidR="00B17BAE">
        <w:rPr>
          <w:noProof/>
        </w:rPr>
        <w:t>Legacy procedure involves gNB-DU applying a new CCO configuration for a CCO issue and informing the gNB-CU that new CCO configuration is applied. The new CCO configuration is then exchanged with neighbours by the gNB-CU.</w:t>
      </w:r>
    </w:p>
    <w:p w14:paraId="2A7CD68E" w14:textId="77777777" w:rsidR="00B17BAE" w:rsidRDefault="00B17BAE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Based on the past learnings from different CCO issues and applied CCO configurations, gNB-DU may derive a CCO configuration which could be best suited to solve the CCO issue. Hence deriving a CCO configuration could be based on machine learning techniques based on past data or via legacy mechanisms.</w:t>
      </w:r>
    </w:p>
    <w:p w14:paraId="123FCA26" w14:textId="77777777" w:rsidR="00B17BAE" w:rsidRDefault="00B17BAE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Observation 3.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There could be energy savings, interference or other scenarios due to which coverage is modified in a gNB and it impacts the coverage state of the neighbouring gNBs, One example could be a gNB shrinks its coverage for NES and neighbouring gNB needs to exand its coverage to avoid coverage gap.</w:t>
      </w:r>
    </w:p>
    <w:p w14:paraId="2509F800" w14:textId="343ACF00" w:rsidR="00E15BED" w:rsidRPr="00456300" w:rsidRDefault="00E15BED" w:rsidP="00E15BED">
      <w:pPr>
        <w:spacing w:line="276" w:lineRule="auto"/>
        <w:jc w:val="both"/>
      </w:pPr>
      <w:r w:rsidRPr="00113C98">
        <w:rPr>
          <w:b/>
        </w:rPr>
        <w:fldChar w:fldCharType="end"/>
      </w:r>
    </w:p>
    <w:p w14:paraId="0A7BCC61" w14:textId="77777777" w:rsidR="00E15BED" w:rsidRDefault="00E15BED" w:rsidP="00E15BED">
      <w:pPr>
        <w:spacing w:line="276" w:lineRule="auto"/>
        <w:jc w:val="both"/>
      </w:pPr>
      <w:r>
        <w:t>Based on these observations and discussion above, we have the following proposals:</w:t>
      </w:r>
    </w:p>
    <w:p w14:paraId="3AFA896D" w14:textId="77777777" w:rsidR="00B17BAE" w:rsidRDefault="00E15BED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"Prop</w:instrText>
      </w:r>
      <w:r>
        <w:rPr>
          <w:b/>
        </w:rPr>
        <w:instrText>Obs</w:instrText>
      </w:r>
      <w:r w:rsidRPr="00113C98">
        <w:rPr>
          <w:b/>
        </w:rPr>
        <w:instrText xml:space="preserve">" \z \n \* MERGEFORMAT </w:instrText>
      </w:r>
      <w:r w:rsidRPr="00113C98">
        <w:rPr>
          <w:b/>
        </w:rPr>
        <w:fldChar w:fldCharType="separate"/>
      </w:r>
      <w:r w:rsidR="00B17BAE">
        <w:rPr>
          <w:noProof/>
        </w:rPr>
        <w:t>Proposal 1:</w:t>
      </w:r>
      <w:r w:rsidR="00B17BAE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 w:rsidR="00B17BAE">
        <w:rPr>
          <w:noProof/>
        </w:rPr>
        <w:t>RAN3 to agree that AI/ML techniques can be used to derive CCO configuration in gNB-DU for a predicted CCO issue whereas legacy mechanisms are not precluded.</w:t>
      </w:r>
    </w:p>
    <w:p w14:paraId="3876F1F7" w14:textId="77777777" w:rsidR="00B17BAE" w:rsidRDefault="00B17BAE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 w:rsidRPr="00D33B90">
        <w:rPr>
          <w:rFonts w:ascii="Segoe UI" w:hAnsi="Segoe UI" w:cs="Segoe UI"/>
          <w:noProof/>
          <w:color w:val="333333"/>
          <w:shd w:val="clear" w:color="auto" w:fill="FFFFFF"/>
        </w:rPr>
        <w:t>A gNB can propose a predicted coverage configuration for cells served by its neighboring gNBs. The neighboring gNB can either accept/reject this proposal and provide its own predicted coverage configuration upon request.</w:t>
      </w:r>
    </w:p>
    <w:p w14:paraId="462D62A1" w14:textId="77777777" w:rsidR="00B17BAE" w:rsidRDefault="00B17BAE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Proposal 3: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The following parameters can be considered for feedback for the predicted CCO configuration and can be exchanged between neighbours over Xn and from gNB-CU to gNB-DU over F1.</w:t>
      </w:r>
    </w:p>
    <w:p w14:paraId="562D826B" w14:textId="77777777" w:rsidR="00B17BAE" w:rsidRDefault="00B17BAE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D33B90">
        <w:rPr>
          <w:rFonts w:ascii="Symbol" w:hAnsi="Symbol"/>
          <w:noProof/>
        </w:rPr>
        <w:t>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Cell throughput (DL/UL)</w:t>
      </w:r>
    </w:p>
    <w:p w14:paraId="2AF12B19" w14:textId="77777777" w:rsidR="00B17BAE" w:rsidRDefault="00B17BAE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D33B90">
        <w:rPr>
          <w:rFonts w:ascii="Symbol" w:hAnsi="Symbol"/>
          <w:noProof/>
        </w:rPr>
        <w:t>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Cell level Packet loss</w:t>
      </w:r>
    </w:p>
    <w:p w14:paraId="010F2AF6" w14:textId="77777777" w:rsidR="00B17BAE" w:rsidRDefault="00B17BAE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D33B90">
        <w:rPr>
          <w:rFonts w:ascii="Symbol" w:hAnsi="Symbol"/>
          <w:noProof/>
        </w:rPr>
        <w:t>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Cell level Packet delay</w:t>
      </w:r>
    </w:p>
    <w:p w14:paraId="3DEFE0C8" w14:textId="77777777" w:rsidR="00B17BAE" w:rsidRDefault="00B17BAE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D33B90">
        <w:rPr>
          <w:rFonts w:ascii="Symbol" w:hAnsi="Symbol"/>
          <w:noProof/>
        </w:rPr>
        <w:t>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SON reports (RLF, CEF)</w:t>
      </w:r>
    </w:p>
    <w:p w14:paraId="5776CDA5" w14:textId="368F2217" w:rsidR="00120D62" w:rsidRPr="00120D62" w:rsidRDefault="00E15BED" w:rsidP="00A76A2D">
      <w:pPr>
        <w:spacing w:line="276" w:lineRule="auto"/>
        <w:jc w:val="both"/>
        <w:rPr>
          <w:b/>
          <w:bCs/>
          <w:u w:val="single"/>
        </w:rPr>
      </w:pPr>
      <w:r w:rsidRPr="00113C98">
        <w:rPr>
          <w:b/>
        </w:rPr>
        <w:fldChar w:fldCharType="end"/>
      </w:r>
    </w:p>
    <w:p w14:paraId="1FED0E05" w14:textId="77777777" w:rsidR="00FA21E5" w:rsidRPr="00840169" w:rsidRDefault="00FA21E5" w:rsidP="003D0FDA">
      <w:pPr>
        <w:pStyle w:val="Proposal"/>
      </w:pPr>
    </w:p>
    <w:sectPr w:rsidR="00FA21E5" w:rsidRPr="00840169" w:rsidSect="00D05DE9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1F678" w14:textId="77777777" w:rsidR="00D05DE9" w:rsidRDefault="00D05DE9">
      <w:pPr>
        <w:spacing w:after="0"/>
      </w:pPr>
      <w:r>
        <w:separator/>
      </w:r>
    </w:p>
  </w:endnote>
  <w:endnote w:type="continuationSeparator" w:id="0">
    <w:p w14:paraId="5BBE2FDF" w14:textId="77777777" w:rsidR="00D05DE9" w:rsidRDefault="00D05DE9">
      <w:pPr>
        <w:spacing w:after="0"/>
      </w:pPr>
      <w:r>
        <w:continuationSeparator/>
      </w:r>
    </w:p>
  </w:endnote>
  <w:endnote w:type="continuationNotice" w:id="1">
    <w:p w14:paraId="5F69E634" w14:textId="77777777" w:rsidR="00D05DE9" w:rsidRDefault="00D05D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1D4F4" w14:textId="77777777" w:rsidR="00D05DE9" w:rsidRDefault="00D05DE9">
      <w:pPr>
        <w:spacing w:after="0"/>
      </w:pPr>
      <w:r>
        <w:separator/>
      </w:r>
    </w:p>
  </w:footnote>
  <w:footnote w:type="continuationSeparator" w:id="0">
    <w:p w14:paraId="72304096" w14:textId="77777777" w:rsidR="00D05DE9" w:rsidRDefault="00D05DE9">
      <w:pPr>
        <w:spacing w:after="0"/>
      </w:pPr>
      <w:r>
        <w:continuationSeparator/>
      </w:r>
    </w:p>
  </w:footnote>
  <w:footnote w:type="continuationNotice" w:id="1">
    <w:p w14:paraId="4043A7B1" w14:textId="77777777" w:rsidR="00D05DE9" w:rsidRDefault="00D05D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521C19"/>
    <w:multiLevelType w:val="hybridMultilevel"/>
    <w:tmpl w:val="39861E9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A3490"/>
    <w:multiLevelType w:val="hybridMultilevel"/>
    <w:tmpl w:val="7372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hybridMultilevel"/>
    <w:tmpl w:val="DEBC6C4A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DD170A"/>
    <w:multiLevelType w:val="hybridMultilevel"/>
    <w:tmpl w:val="2F4A72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284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41C54"/>
    <w:multiLevelType w:val="hybridMultilevel"/>
    <w:tmpl w:val="CDC2406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 w15:restartNumberingAfterBreak="0">
    <w:nsid w:val="5C352947"/>
    <w:multiLevelType w:val="hybridMultilevel"/>
    <w:tmpl w:val="78085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B640640"/>
    <w:multiLevelType w:val="hybridMultilevel"/>
    <w:tmpl w:val="DFAE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7"/>
  </w:num>
  <w:num w:numId="2" w16cid:durableId="2132168923">
    <w:abstractNumId w:val="10"/>
  </w:num>
  <w:num w:numId="3" w16cid:durableId="115368091">
    <w:abstractNumId w:val="11"/>
  </w:num>
  <w:num w:numId="4" w16cid:durableId="57484751">
    <w:abstractNumId w:val="20"/>
  </w:num>
  <w:num w:numId="5" w16cid:durableId="2075538779">
    <w:abstractNumId w:val="6"/>
  </w:num>
  <w:num w:numId="6" w16cid:durableId="1842546794">
    <w:abstractNumId w:val="13"/>
  </w:num>
  <w:num w:numId="7" w16cid:durableId="714819153">
    <w:abstractNumId w:val="8"/>
  </w:num>
  <w:num w:numId="8" w16cid:durableId="1399595774">
    <w:abstractNumId w:val="17"/>
  </w:num>
  <w:num w:numId="9" w16cid:durableId="576793776">
    <w:abstractNumId w:val="1"/>
  </w:num>
  <w:num w:numId="10" w16cid:durableId="703138330">
    <w:abstractNumId w:val="12"/>
  </w:num>
  <w:num w:numId="11" w16cid:durableId="858734355">
    <w:abstractNumId w:val="2"/>
  </w:num>
  <w:num w:numId="12" w16cid:durableId="2143886941">
    <w:abstractNumId w:val="19"/>
  </w:num>
  <w:num w:numId="13" w16cid:durableId="10337316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37488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7253018">
    <w:abstractNumId w:val="6"/>
  </w:num>
  <w:num w:numId="16" w16cid:durableId="1196574402">
    <w:abstractNumId w:val="6"/>
    <w:lvlOverride w:ilvl="0">
      <w:startOverride w:val="1"/>
    </w:lvlOverride>
  </w:num>
  <w:num w:numId="17" w16cid:durableId="19784156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6662153">
    <w:abstractNumId w:val="14"/>
  </w:num>
  <w:num w:numId="19" w16cid:durableId="441070255">
    <w:abstractNumId w:val="3"/>
  </w:num>
  <w:num w:numId="20" w16cid:durableId="435905563">
    <w:abstractNumId w:val="6"/>
    <w:lvlOverride w:ilvl="0">
      <w:startOverride w:val="1"/>
    </w:lvlOverride>
  </w:num>
  <w:num w:numId="21" w16cid:durableId="5244873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136953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079363">
    <w:abstractNumId w:val="4"/>
  </w:num>
  <w:num w:numId="24" w16cid:durableId="1497843305">
    <w:abstractNumId w:val="21"/>
  </w:num>
  <w:num w:numId="25" w16cid:durableId="1004288352">
    <w:abstractNumId w:val="15"/>
  </w:num>
  <w:num w:numId="26" w16cid:durableId="1462573995">
    <w:abstractNumId w:val="6"/>
  </w:num>
  <w:num w:numId="27" w16cid:durableId="144057701">
    <w:abstractNumId w:val="6"/>
    <w:lvlOverride w:ilvl="0">
      <w:startOverride w:val="1"/>
    </w:lvlOverride>
  </w:num>
  <w:num w:numId="28" w16cid:durableId="2091005521">
    <w:abstractNumId w:val="6"/>
    <w:lvlOverride w:ilvl="0">
      <w:startOverride w:val="1"/>
    </w:lvlOverride>
  </w:num>
  <w:num w:numId="29" w16cid:durableId="1975595374">
    <w:abstractNumId w:val="6"/>
    <w:lvlOverride w:ilvl="0">
      <w:startOverride w:val="1"/>
    </w:lvlOverride>
  </w:num>
  <w:num w:numId="30" w16cid:durableId="8149531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0160858">
    <w:abstractNumId w:val="16"/>
  </w:num>
  <w:num w:numId="32" w16cid:durableId="332534214">
    <w:abstractNumId w:val="6"/>
    <w:lvlOverride w:ilvl="0">
      <w:startOverride w:val="1"/>
    </w:lvlOverride>
  </w:num>
  <w:num w:numId="33" w16cid:durableId="27074839">
    <w:abstractNumId w:val="18"/>
  </w:num>
  <w:num w:numId="34" w16cid:durableId="561523907">
    <w:abstractNumId w:val="6"/>
    <w:lvlOverride w:ilvl="0">
      <w:startOverride w:val="1"/>
    </w:lvlOverride>
  </w:num>
  <w:num w:numId="35" w16cid:durableId="912474642">
    <w:abstractNumId w:val="6"/>
    <w:lvlOverride w:ilvl="0">
      <w:startOverride w:val="1"/>
    </w:lvlOverride>
  </w:num>
  <w:num w:numId="36" w16cid:durableId="1661690636">
    <w:abstractNumId w:val="6"/>
    <w:lvlOverride w:ilvl="0">
      <w:startOverride w:val="1"/>
    </w:lvlOverride>
  </w:num>
  <w:num w:numId="37" w16cid:durableId="540745727">
    <w:abstractNumId w:val="5"/>
  </w:num>
  <w:num w:numId="38" w16cid:durableId="307900940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546"/>
    <w:rsid w:val="00026C6A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1DC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232"/>
    <w:rsid w:val="00050408"/>
    <w:rsid w:val="00050636"/>
    <w:rsid w:val="00050C4B"/>
    <w:rsid w:val="00050D8F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AD2"/>
    <w:rsid w:val="00060129"/>
    <w:rsid w:val="0006036E"/>
    <w:rsid w:val="0006171A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451"/>
    <w:rsid w:val="00096622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67D"/>
    <w:rsid w:val="000B7FFC"/>
    <w:rsid w:val="000C1879"/>
    <w:rsid w:val="000C19EA"/>
    <w:rsid w:val="000C5181"/>
    <w:rsid w:val="000C5870"/>
    <w:rsid w:val="000C59CF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1002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181C"/>
    <w:rsid w:val="001A1B01"/>
    <w:rsid w:val="001A28CF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C21"/>
    <w:rsid w:val="001B6E10"/>
    <w:rsid w:val="001B6E46"/>
    <w:rsid w:val="001C0B3F"/>
    <w:rsid w:val="001C0F9A"/>
    <w:rsid w:val="001C12F4"/>
    <w:rsid w:val="001C1418"/>
    <w:rsid w:val="001C186E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1510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4AC"/>
    <w:rsid w:val="002507C1"/>
    <w:rsid w:val="00251B5D"/>
    <w:rsid w:val="00252754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A6B28"/>
    <w:rsid w:val="002B0C7C"/>
    <w:rsid w:val="002B0E96"/>
    <w:rsid w:val="002B1990"/>
    <w:rsid w:val="002B1C83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2D95"/>
    <w:rsid w:val="00353113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B2F"/>
    <w:rsid w:val="00374D2E"/>
    <w:rsid w:val="003772F9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612"/>
    <w:rsid w:val="003E26BE"/>
    <w:rsid w:val="003E2F4D"/>
    <w:rsid w:val="003E3230"/>
    <w:rsid w:val="003E3F6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A15"/>
    <w:rsid w:val="00411053"/>
    <w:rsid w:val="0041267E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AAA"/>
    <w:rsid w:val="0043657A"/>
    <w:rsid w:val="004366EC"/>
    <w:rsid w:val="004367B5"/>
    <w:rsid w:val="00436FD2"/>
    <w:rsid w:val="00437115"/>
    <w:rsid w:val="00437586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2E3"/>
    <w:rsid w:val="00446450"/>
    <w:rsid w:val="00446474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DBE"/>
    <w:rsid w:val="00473EA0"/>
    <w:rsid w:val="0047496A"/>
    <w:rsid w:val="00474CE7"/>
    <w:rsid w:val="00474F19"/>
    <w:rsid w:val="00475DAF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50BD"/>
    <w:rsid w:val="00505582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556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E32"/>
    <w:rsid w:val="005367E6"/>
    <w:rsid w:val="00537E50"/>
    <w:rsid w:val="00541F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3DE"/>
    <w:rsid w:val="0059359E"/>
    <w:rsid w:val="005940B9"/>
    <w:rsid w:val="00594D31"/>
    <w:rsid w:val="00594EB9"/>
    <w:rsid w:val="005950ED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04D4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682"/>
    <w:rsid w:val="0061478F"/>
    <w:rsid w:val="0061580A"/>
    <w:rsid w:val="0061589B"/>
    <w:rsid w:val="00616B88"/>
    <w:rsid w:val="00617E1A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BE0"/>
    <w:rsid w:val="00640E9F"/>
    <w:rsid w:val="0064105F"/>
    <w:rsid w:val="0064130A"/>
    <w:rsid w:val="006413B4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2D1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842"/>
    <w:rsid w:val="006C7BD0"/>
    <w:rsid w:val="006C7ED5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6F6C37"/>
    <w:rsid w:val="0070068C"/>
    <w:rsid w:val="00700A4B"/>
    <w:rsid w:val="00701403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7BF"/>
    <w:rsid w:val="00716ACF"/>
    <w:rsid w:val="00717233"/>
    <w:rsid w:val="00717AE3"/>
    <w:rsid w:val="00717D46"/>
    <w:rsid w:val="00720D1D"/>
    <w:rsid w:val="00721FD1"/>
    <w:rsid w:val="007236B9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3CA"/>
    <w:rsid w:val="00782491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52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1ED6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11E"/>
    <w:rsid w:val="0083713C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D90"/>
    <w:rsid w:val="0088029D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3D5"/>
    <w:rsid w:val="00893743"/>
    <w:rsid w:val="00893CF6"/>
    <w:rsid w:val="008940E9"/>
    <w:rsid w:val="0089480E"/>
    <w:rsid w:val="0089481E"/>
    <w:rsid w:val="008958FE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2EBD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6C10"/>
    <w:rsid w:val="00937405"/>
    <w:rsid w:val="009375D5"/>
    <w:rsid w:val="00937860"/>
    <w:rsid w:val="00937D5D"/>
    <w:rsid w:val="00940C0F"/>
    <w:rsid w:val="00942E9D"/>
    <w:rsid w:val="009432A1"/>
    <w:rsid w:val="00943F78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3FB5"/>
    <w:rsid w:val="0096437B"/>
    <w:rsid w:val="009644FF"/>
    <w:rsid w:val="009651BB"/>
    <w:rsid w:val="00965B92"/>
    <w:rsid w:val="00966865"/>
    <w:rsid w:val="009671D8"/>
    <w:rsid w:val="009673F9"/>
    <w:rsid w:val="0097013E"/>
    <w:rsid w:val="00970DC4"/>
    <w:rsid w:val="0097162E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4F7"/>
    <w:rsid w:val="009A494B"/>
    <w:rsid w:val="009A5105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C7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700"/>
    <w:rsid w:val="00A42D05"/>
    <w:rsid w:val="00A430AC"/>
    <w:rsid w:val="00A43D1C"/>
    <w:rsid w:val="00A43EF2"/>
    <w:rsid w:val="00A44681"/>
    <w:rsid w:val="00A44C91"/>
    <w:rsid w:val="00A44D38"/>
    <w:rsid w:val="00A4556A"/>
    <w:rsid w:val="00A46C87"/>
    <w:rsid w:val="00A46D7E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A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3F38"/>
    <w:rsid w:val="00A84005"/>
    <w:rsid w:val="00A84B01"/>
    <w:rsid w:val="00A84C7F"/>
    <w:rsid w:val="00A85BA7"/>
    <w:rsid w:val="00A85DFC"/>
    <w:rsid w:val="00A860E7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A42"/>
    <w:rsid w:val="00B04DCE"/>
    <w:rsid w:val="00B05656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17BAE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40D70"/>
    <w:rsid w:val="00B422C0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40BF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BCF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5DE9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580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C2E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507C"/>
    <w:rsid w:val="00DF6108"/>
    <w:rsid w:val="00DF658B"/>
    <w:rsid w:val="00DF7373"/>
    <w:rsid w:val="00E00141"/>
    <w:rsid w:val="00E013A4"/>
    <w:rsid w:val="00E02253"/>
    <w:rsid w:val="00E0301C"/>
    <w:rsid w:val="00E0322A"/>
    <w:rsid w:val="00E03C01"/>
    <w:rsid w:val="00E04250"/>
    <w:rsid w:val="00E0444D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A7BD6"/>
    <w:rsid w:val="00EB093C"/>
    <w:rsid w:val="00EB135C"/>
    <w:rsid w:val="00EB2509"/>
    <w:rsid w:val="00EB2B9C"/>
    <w:rsid w:val="00EB2C5A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566F"/>
    <w:rsid w:val="00EF5C74"/>
    <w:rsid w:val="00EF64B2"/>
    <w:rsid w:val="00EF6C0D"/>
    <w:rsid w:val="00F00E2E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8B1"/>
    <w:rsid w:val="00F4268C"/>
    <w:rsid w:val="00F42C09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76F1796D-CFD0-40B0-B4F3-45E71628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ind w:left="381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3D0FDA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2D496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3D0FDA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2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Normal5">
    <w:name w:val="Normal5"/>
    <w:rsid w:val="009A44F7"/>
    <w:pPr>
      <w:jc w:val="both"/>
    </w:pPr>
    <w:rPr>
      <w:rFonts w:cs="Calibri"/>
      <w:kern w:val="2"/>
      <w:sz w:val="21"/>
      <w:szCs w:val="21"/>
      <w:lang w:eastAsia="zh-CN"/>
    </w:rPr>
  </w:style>
  <w:style w:type="paragraph" w:customStyle="1" w:styleId="ListParagraph3">
    <w:name w:val="List Paragraph3"/>
    <w:basedOn w:val="Normal"/>
    <w:rsid w:val="009A44F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 - Geetha Rajendran</cp:lastModifiedBy>
  <cp:revision>10</cp:revision>
  <cp:lastPrinted>2017-09-12T20:53:00Z</cp:lastPrinted>
  <dcterms:created xsi:type="dcterms:W3CDTF">2024-05-09T11:18:00Z</dcterms:created>
  <dcterms:modified xsi:type="dcterms:W3CDTF">2024-05-10T05:32:00Z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